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AE8" w:rsidRDefault="00AA1A48" w:rsidP="00AA1A48">
      <w:pPr>
        <w:jc w:val="center"/>
        <w:rPr>
          <w:rFonts w:ascii="Times New Roman" w:hAnsi="Times New Roman" w:cs="Times New Roman"/>
          <w:sz w:val="28"/>
          <w:szCs w:val="28"/>
        </w:rPr>
      </w:pPr>
      <w:r>
        <w:rPr>
          <w:rFonts w:ascii="Times New Roman" w:hAnsi="Times New Roman" w:cs="Times New Roman"/>
          <w:sz w:val="28"/>
          <w:szCs w:val="28"/>
        </w:rPr>
        <w:t>Bornavirus</w:t>
      </w:r>
    </w:p>
    <w:p w:rsidR="00AA1A48" w:rsidRDefault="00AA1A48" w:rsidP="00AA1A48">
      <w:pPr>
        <w:jc w:val="center"/>
        <w:rPr>
          <w:rFonts w:ascii="Times New Roman" w:hAnsi="Times New Roman" w:cs="Times New Roman"/>
          <w:sz w:val="28"/>
          <w:szCs w:val="28"/>
        </w:rPr>
      </w:pPr>
    </w:p>
    <w:p w:rsidR="00AA1A48" w:rsidRDefault="00AA1A48" w:rsidP="00AA1A48">
      <w:pPr>
        <w:rPr>
          <w:rFonts w:ascii="Times New Roman" w:hAnsi="Times New Roman" w:cs="Times New Roman"/>
          <w:b/>
          <w:sz w:val="28"/>
          <w:szCs w:val="28"/>
        </w:rPr>
      </w:pPr>
      <w:r>
        <w:rPr>
          <w:rFonts w:ascii="Times New Roman" w:hAnsi="Times New Roman" w:cs="Times New Roman"/>
          <w:b/>
          <w:sz w:val="28"/>
          <w:szCs w:val="28"/>
        </w:rPr>
        <w:t>Introduction</w:t>
      </w:r>
    </w:p>
    <w:p w:rsidR="00AA1A48" w:rsidRDefault="00AA1A48" w:rsidP="00AA1A48">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The family of Bornaviridae consisted of only bornavirus.  Bornavirus is under its own family due to its unique replication process - a RNA virus that replications in the nucleus. Currently, bornavirus is the only known animal RNA virus that can replicate in the nucleus. Bornavirus often infect the </w:t>
      </w:r>
      <w:r w:rsidR="00AA523F">
        <w:rPr>
          <w:rFonts w:ascii="Times New Roman" w:hAnsi="Times New Roman" w:cs="Times New Roman"/>
          <w:sz w:val="28"/>
          <w:szCs w:val="28"/>
        </w:rPr>
        <w:t>central, peripheral and autonomic nervous system</w:t>
      </w:r>
      <w:r>
        <w:rPr>
          <w:rFonts w:ascii="Times New Roman" w:hAnsi="Times New Roman" w:cs="Times New Roman"/>
          <w:sz w:val="28"/>
          <w:szCs w:val="28"/>
        </w:rPr>
        <w:t xml:space="preserve"> causing neuropsychiatric disorders in humans and animals.</w:t>
      </w:r>
    </w:p>
    <w:p w:rsidR="00AA1A48" w:rsidRDefault="00AA1A48" w:rsidP="00AA1A48">
      <w:pPr>
        <w:rPr>
          <w:rFonts w:ascii="Times New Roman" w:hAnsi="Times New Roman" w:cs="Times New Roman"/>
          <w:sz w:val="28"/>
          <w:szCs w:val="28"/>
        </w:rPr>
      </w:pPr>
    </w:p>
    <w:p w:rsidR="00AA1A48" w:rsidRDefault="00AA1A48" w:rsidP="00AA1A48">
      <w:pPr>
        <w:rPr>
          <w:rFonts w:ascii="Times New Roman" w:hAnsi="Times New Roman" w:cs="Times New Roman"/>
          <w:b/>
          <w:sz w:val="28"/>
          <w:szCs w:val="28"/>
        </w:rPr>
      </w:pPr>
      <w:r>
        <w:rPr>
          <w:rFonts w:ascii="Times New Roman" w:hAnsi="Times New Roman" w:cs="Times New Roman"/>
          <w:b/>
          <w:sz w:val="28"/>
          <w:szCs w:val="28"/>
        </w:rPr>
        <w:t>Structure</w:t>
      </w:r>
      <w:r w:rsidR="003F011F">
        <w:rPr>
          <w:rFonts w:ascii="Times New Roman" w:hAnsi="Times New Roman" w:cs="Times New Roman"/>
          <w:b/>
          <w:sz w:val="28"/>
          <w:szCs w:val="28"/>
        </w:rPr>
        <w:t xml:space="preserve"> and replication</w:t>
      </w:r>
      <w:bookmarkStart w:id="0" w:name="_GoBack"/>
      <w:bookmarkEnd w:id="0"/>
    </w:p>
    <w:p w:rsidR="00AA1A48" w:rsidRDefault="00AA1A48" w:rsidP="00AA1A48">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Bornavirus (BDV) is enveloped, non-segmented, negative sense RNA. It</w:t>
      </w:r>
      <w:r w:rsidR="003F011F">
        <w:rPr>
          <w:rFonts w:ascii="Times New Roman" w:hAnsi="Times New Roman" w:cs="Times New Roman"/>
          <w:sz w:val="28"/>
          <w:szCs w:val="28"/>
        </w:rPr>
        <w:t xml:space="preserve">s genome is about 8.9 kb long. </w:t>
      </w:r>
      <w:r w:rsidR="00727665">
        <w:rPr>
          <w:rFonts w:ascii="Times New Roman" w:hAnsi="Times New Roman" w:cs="Times New Roman"/>
          <w:sz w:val="28"/>
          <w:szCs w:val="28"/>
        </w:rPr>
        <w:t>The BDV can encode at least six proteins, however, the main structural proteins include nucleoprotein</w:t>
      </w:r>
      <w:r w:rsidR="003F011F">
        <w:rPr>
          <w:rFonts w:ascii="Times New Roman" w:hAnsi="Times New Roman" w:cs="Times New Roman"/>
          <w:sz w:val="28"/>
          <w:szCs w:val="28"/>
        </w:rPr>
        <w:t xml:space="preserve"> (N), phosphoprotein (P), matrix protein (M), envelope glycoprotein (G) and RNA-dependent polymerase (L). </w:t>
      </w:r>
    </w:p>
    <w:p w:rsidR="003F011F" w:rsidRDefault="003F011F" w:rsidP="003F011F">
      <w:pPr>
        <w:pStyle w:val="NormalWeb"/>
        <w:rPr>
          <w:sz w:val="28"/>
          <w:szCs w:val="28"/>
        </w:rPr>
      </w:pPr>
      <w:r>
        <w:rPr>
          <w:sz w:val="28"/>
          <w:szCs w:val="28"/>
        </w:rPr>
        <w:tab/>
      </w:r>
      <w:r>
        <w:rPr>
          <w:noProof/>
        </w:rPr>
        <w:drawing>
          <wp:inline distT="0" distB="0" distL="0" distR="0">
            <wp:extent cx="4267200" cy="1638300"/>
            <wp:effectExtent l="19050" t="0" r="0" b="0"/>
            <wp:docPr id="1" name="Picture 1" descr="Bornavirus ge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navirus genome"/>
                    <pic:cNvPicPr>
                      <a:picLocks noChangeAspect="1" noChangeArrowheads="1"/>
                    </pic:cNvPicPr>
                  </pic:nvPicPr>
                  <pic:blipFill>
                    <a:blip r:embed="rId4" cstate="print"/>
                    <a:srcRect/>
                    <a:stretch>
                      <a:fillRect/>
                    </a:stretch>
                  </pic:blipFill>
                  <pic:spPr bwMode="auto">
                    <a:xfrm>
                      <a:off x="0" y="0"/>
                      <a:ext cx="4267200" cy="1638300"/>
                    </a:xfrm>
                    <a:prstGeom prst="rect">
                      <a:avLst/>
                    </a:prstGeom>
                    <a:noFill/>
                    <a:ln w="9525">
                      <a:noFill/>
                      <a:miter lim="800000"/>
                      <a:headEnd/>
                      <a:tailEnd/>
                    </a:ln>
                  </pic:spPr>
                </pic:pic>
              </a:graphicData>
            </a:graphic>
          </wp:inline>
        </w:drawing>
      </w:r>
    </w:p>
    <w:p w:rsidR="003F011F" w:rsidRDefault="003F011F" w:rsidP="003F011F">
      <w:pPr>
        <w:pStyle w:val="NormalWeb"/>
        <w:jc w:val="center"/>
        <w:rPr>
          <w:sz w:val="28"/>
          <w:szCs w:val="28"/>
        </w:rPr>
      </w:pPr>
      <w:r>
        <w:rPr>
          <w:noProof/>
          <w:sz w:val="28"/>
          <w:szCs w:val="28"/>
        </w:rPr>
        <w:drawing>
          <wp:inline distT="0" distB="0" distL="0" distR="0">
            <wp:extent cx="3432008" cy="14001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l="72115" t="35852" r="6441" b="39367"/>
                    <a:stretch>
                      <a:fillRect/>
                    </a:stretch>
                  </pic:blipFill>
                  <pic:spPr bwMode="auto">
                    <a:xfrm>
                      <a:off x="0" y="0"/>
                      <a:ext cx="3432008" cy="1400175"/>
                    </a:xfrm>
                    <a:prstGeom prst="rect">
                      <a:avLst/>
                    </a:prstGeom>
                    <a:noFill/>
                    <a:ln w="9525">
                      <a:noFill/>
                      <a:miter lim="800000"/>
                      <a:headEnd/>
                      <a:tailEnd/>
                    </a:ln>
                  </pic:spPr>
                </pic:pic>
              </a:graphicData>
            </a:graphic>
          </wp:inline>
        </w:drawing>
      </w:r>
    </w:p>
    <w:p w:rsidR="003F011F" w:rsidRDefault="003F011F" w:rsidP="003F011F">
      <w:pPr>
        <w:pStyle w:val="NormalWeb"/>
        <w:jc w:val="center"/>
        <w:rPr>
          <w:sz w:val="28"/>
          <w:szCs w:val="28"/>
        </w:rPr>
      </w:pPr>
    </w:p>
    <w:p w:rsidR="003F011F" w:rsidRDefault="003F011F" w:rsidP="003F011F">
      <w:pPr>
        <w:pStyle w:val="NormalWeb"/>
      </w:pPr>
      <w:r>
        <w:rPr>
          <w:sz w:val="28"/>
          <w:szCs w:val="28"/>
        </w:rPr>
        <w:lastRenderedPageBreak/>
        <w:tab/>
      </w:r>
      <w:r w:rsidR="00727665">
        <w:rPr>
          <w:sz w:val="28"/>
          <w:szCs w:val="28"/>
        </w:rPr>
        <w:t xml:space="preserve">The BDV enter the host cell through endocytosis. </w:t>
      </w:r>
      <w:r w:rsidR="00EC3BA4">
        <w:rPr>
          <w:sz w:val="28"/>
          <w:szCs w:val="28"/>
        </w:rPr>
        <w:t xml:space="preserve">Studies showed that only glycoprotein 84 was found in infected cells, thus, it was assumed being used as a receptor that the BDV binds to. </w:t>
      </w:r>
      <w:r w:rsidR="00727665">
        <w:rPr>
          <w:sz w:val="28"/>
          <w:szCs w:val="28"/>
        </w:rPr>
        <w:t>Fusion of the virus to cell membrane is pH dependent</w:t>
      </w:r>
      <w:r w:rsidR="00EC3BA4">
        <w:rPr>
          <w:sz w:val="28"/>
          <w:szCs w:val="28"/>
        </w:rPr>
        <w:t xml:space="preserve"> requiring more acidic environment</w:t>
      </w:r>
      <w:r w:rsidR="00727665">
        <w:rPr>
          <w:sz w:val="28"/>
          <w:szCs w:val="28"/>
        </w:rPr>
        <w:t>. Once in the ce</w:t>
      </w:r>
      <w:r w:rsidR="00EC3BA4">
        <w:rPr>
          <w:sz w:val="28"/>
          <w:szCs w:val="28"/>
        </w:rPr>
        <w:t>ll, BDV is taken up by endosome</w:t>
      </w:r>
      <w:r w:rsidR="00727665">
        <w:rPr>
          <w:sz w:val="28"/>
          <w:szCs w:val="28"/>
        </w:rPr>
        <w:t xml:space="preserve">s and will be transported to the nucleus where its genome will be released. In the nucleus, BDV will replicate to produce viral particles. However, the exact replication of BDV is still unclear. </w:t>
      </w:r>
    </w:p>
    <w:p w:rsidR="003F011F" w:rsidRDefault="00C612FC" w:rsidP="00AA1A48">
      <w:pPr>
        <w:rPr>
          <w:rFonts w:ascii="Times New Roman" w:hAnsi="Times New Roman" w:cs="Times New Roman"/>
          <w:b/>
          <w:sz w:val="28"/>
          <w:szCs w:val="28"/>
        </w:rPr>
      </w:pPr>
      <w:r>
        <w:rPr>
          <w:rFonts w:ascii="Times New Roman" w:hAnsi="Times New Roman" w:cs="Times New Roman"/>
          <w:b/>
          <w:sz w:val="28"/>
          <w:szCs w:val="28"/>
        </w:rPr>
        <w:t>Avian bornavirus (ABV)</w:t>
      </w:r>
    </w:p>
    <w:p w:rsidR="00F27A48" w:rsidRDefault="00C612FC" w:rsidP="00AA1A48">
      <w:pPr>
        <w:rPr>
          <w:rFonts w:ascii="Times New Roman" w:hAnsi="Times New Roman" w:cs="Times New Roman"/>
          <w:sz w:val="28"/>
          <w:szCs w:val="28"/>
        </w:rPr>
      </w:pPr>
      <w:r>
        <w:rPr>
          <w:rFonts w:ascii="Times New Roman" w:hAnsi="Times New Roman" w:cs="Times New Roman"/>
          <w:b/>
          <w:sz w:val="28"/>
          <w:szCs w:val="28"/>
        </w:rPr>
        <w:tab/>
      </w:r>
      <w:r w:rsidR="0088644C">
        <w:rPr>
          <w:rFonts w:ascii="Times New Roman" w:hAnsi="Times New Roman" w:cs="Times New Roman"/>
          <w:sz w:val="28"/>
          <w:szCs w:val="28"/>
        </w:rPr>
        <w:t xml:space="preserve">It is not until recently, ABV being identified as the causative agent of </w:t>
      </w:r>
      <w:r>
        <w:rPr>
          <w:rFonts w:ascii="Times New Roman" w:hAnsi="Times New Roman" w:cs="Times New Roman"/>
          <w:sz w:val="28"/>
          <w:szCs w:val="28"/>
        </w:rPr>
        <w:t xml:space="preserve">proventricular dilatation disease (PDD) in psittacine birds, a fatal disease. </w:t>
      </w:r>
      <w:r w:rsidR="00F27A48">
        <w:rPr>
          <w:rFonts w:ascii="Times New Roman" w:hAnsi="Times New Roman" w:cs="Times New Roman"/>
          <w:sz w:val="28"/>
          <w:szCs w:val="28"/>
        </w:rPr>
        <w:t xml:space="preserve">PDD cause inflammation of nervous systems leading to neurological disorders: ataxia and seizures. Other clinical symptoms include reduced appetite, and gastrointestinal dysfunction. PDD birds can have regurgitation, undigested seeds in feces, impacted proventriculus, and diarrhea (Staeheli et. al. 2010). </w:t>
      </w:r>
      <w:r w:rsidR="0088644C">
        <w:rPr>
          <w:rFonts w:ascii="Times New Roman" w:hAnsi="Times New Roman" w:cs="Times New Roman"/>
          <w:sz w:val="28"/>
          <w:szCs w:val="28"/>
        </w:rPr>
        <w:t xml:space="preserve">Histological results showed ABVD infected birds had infiltration of monocuclear cells in the brain and hypertropic astrocytes. </w:t>
      </w:r>
      <w:r w:rsidR="00F27A48">
        <w:rPr>
          <w:rFonts w:ascii="Times New Roman" w:hAnsi="Times New Roman" w:cs="Times New Roman"/>
          <w:sz w:val="28"/>
          <w:szCs w:val="28"/>
        </w:rPr>
        <w:t xml:space="preserve">ABV can be transmitted through fecal materials.  </w:t>
      </w:r>
    </w:p>
    <w:p w:rsidR="00C612FC" w:rsidRDefault="00F27A48" w:rsidP="00F27A48">
      <w:pPr>
        <w:jc w:val="center"/>
        <w:rPr>
          <w:rFonts w:ascii="Times New Roman" w:hAnsi="Times New Roman" w:cs="Times New Roman"/>
          <w:sz w:val="28"/>
          <w:szCs w:val="28"/>
        </w:rPr>
      </w:pPr>
      <w:r>
        <w:rPr>
          <w:rFonts w:ascii="Times New Roman" w:hAnsi="Times New Roman" w:cs="Times New Roman"/>
          <w:b/>
          <w:noProof/>
          <w:sz w:val="28"/>
          <w:szCs w:val="28"/>
        </w:rPr>
        <w:drawing>
          <wp:inline distT="0" distB="0" distL="0" distR="0">
            <wp:extent cx="2486025" cy="1792251"/>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l="8814" t="9955" r="77405" b="61991"/>
                    <a:stretch>
                      <a:fillRect/>
                    </a:stretch>
                  </pic:blipFill>
                  <pic:spPr bwMode="auto">
                    <a:xfrm>
                      <a:off x="0" y="0"/>
                      <a:ext cx="2486025" cy="1792251"/>
                    </a:xfrm>
                    <a:prstGeom prst="rect">
                      <a:avLst/>
                    </a:prstGeom>
                    <a:noFill/>
                    <a:ln w="9525">
                      <a:noFill/>
                      <a:miter lim="800000"/>
                      <a:headEnd/>
                      <a:tailEnd/>
                    </a:ln>
                  </pic:spPr>
                </pic:pic>
              </a:graphicData>
            </a:graphic>
          </wp:inline>
        </w:drawing>
      </w:r>
    </w:p>
    <w:p w:rsidR="00F27A48" w:rsidRDefault="00F27A48" w:rsidP="00F27A48">
      <w:pPr>
        <w:jc w:val="center"/>
        <w:rPr>
          <w:rFonts w:ascii="Times New Roman" w:hAnsi="Times New Roman" w:cs="Times New Roman"/>
          <w:sz w:val="28"/>
          <w:szCs w:val="28"/>
        </w:rPr>
      </w:pPr>
      <w:r>
        <w:rPr>
          <w:rFonts w:ascii="Times New Roman" w:hAnsi="Times New Roman" w:cs="Times New Roman"/>
          <w:sz w:val="28"/>
          <w:szCs w:val="28"/>
        </w:rPr>
        <w:t xml:space="preserve">This shows an enlargement of proventriculus of an orange-cheeked parrot with PDD. </w:t>
      </w:r>
    </w:p>
    <w:p w:rsidR="005C0A0C" w:rsidRDefault="005C0A0C" w:rsidP="00F27A48">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00325" cy="17335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l="2404" t="19005" r="76925" b="42081"/>
                    <a:stretch>
                      <a:fillRect/>
                    </a:stretch>
                  </pic:blipFill>
                  <pic:spPr bwMode="auto">
                    <a:xfrm>
                      <a:off x="0" y="0"/>
                      <a:ext cx="2600325" cy="1733550"/>
                    </a:xfrm>
                    <a:prstGeom prst="rect">
                      <a:avLst/>
                    </a:prstGeom>
                    <a:noFill/>
                    <a:ln w="9525">
                      <a:noFill/>
                      <a:miter lim="800000"/>
                      <a:headEnd/>
                      <a:tailEnd/>
                    </a:ln>
                  </pic:spPr>
                </pic:pic>
              </a:graphicData>
            </a:graphic>
          </wp:inline>
        </w:drawing>
      </w:r>
    </w:p>
    <w:p w:rsidR="005C0A0C" w:rsidRDefault="005C0A0C" w:rsidP="00F27A48">
      <w:pPr>
        <w:jc w:val="center"/>
        <w:rPr>
          <w:rFonts w:ascii="Times New Roman" w:hAnsi="Times New Roman" w:cs="Times New Roman"/>
          <w:sz w:val="28"/>
          <w:szCs w:val="28"/>
        </w:rPr>
      </w:pPr>
      <w:r>
        <w:rPr>
          <w:rFonts w:ascii="Times New Roman" w:hAnsi="Times New Roman" w:cs="Times New Roman"/>
          <w:sz w:val="28"/>
          <w:szCs w:val="28"/>
        </w:rPr>
        <w:t>Shows infiltration of mononuclearcells indicated with black arrows</w:t>
      </w:r>
    </w:p>
    <w:p w:rsidR="00F27A48" w:rsidRDefault="00986D95" w:rsidP="00986D95">
      <w:pPr>
        <w:rPr>
          <w:rFonts w:ascii="Times New Roman" w:hAnsi="Times New Roman" w:cs="Times New Roman"/>
          <w:sz w:val="28"/>
          <w:szCs w:val="28"/>
        </w:rPr>
      </w:pPr>
      <w:r>
        <w:rPr>
          <w:rFonts w:ascii="Times New Roman" w:hAnsi="Times New Roman" w:cs="Times New Roman"/>
          <w:sz w:val="28"/>
          <w:szCs w:val="28"/>
        </w:rPr>
        <w:tab/>
      </w:r>
      <w:r w:rsidR="005C0A0C">
        <w:rPr>
          <w:rFonts w:ascii="Times New Roman" w:hAnsi="Times New Roman" w:cs="Times New Roman"/>
          <w:sz w:val="28"/>
          <w:szCs w:val="28"/>
        </w:rPr>
        <w:t>Diagnostic tests used to detect ABV are western blot and PCR.</w:t>
      </w:r>
      <w:r w:rsidR="00814CB3">
        <w:rPr>
          <w:rFonts w:ascii="Times New Roman" w:hAnsi="Times New Roman" w:cs="Times New Roman"/>
          <w:sz w:val="28"/>
          <w:szCs w:val="28"/>
        </w:rPr>
        <w:t xml:space="preserve"> However, often diagnosis of PDD usually is made postmortem.</w:t>
      </w:r>
      <w:r w:rsidR="005C0A0C">
        <w:rPr>
          <w:rFonts w:ascii="Times New Roman" w:hAnsi="Times New Roman" w:cs="Times New Roman"/>
          <w:sz w:val="28"/>
          <w:szCs w:val="28"/>
        </w:rPr>
        <w:t xml:space="preserve"> </w:t>
      </w:r>
      <w:r>
        <w:rPr>
          <w:rFonts w:ascii="Times New Roman" w:hAnsi="Times New Roman" w:cs="Times New Roman"/>
          <w:sz w:val="28"/>
          <w:szCs w:val="28"/>
        </w:rPr>
        <w:t xml:space="preserve">Birds with PDD usually are not treatable with a very poor prognosis. With lack of specific treatment, birds with PDD usually receive supportive care by treating its symptoms. </w:t>
      </w: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6D95">
      <w:pPr>
        <w:rPr>
          <w:rFonts w:ascii="Times New Roman" w:hAnsi="Times New Roman" w:cs="Times New Roman"/>
          <w:sz w:val="28"/>
          <w:szCs w:val="28"/>
        </w:rPr>
      </w:pPr>
    </w:p>
    <w:p w:rsidR="00984DCD" w:rsidRDefault="00984DCD" w:rsidP="00984DCD">
      <w:pPr>
        <w:jc w:val="center"/>
        <w:rPr>
          <w:rFonts w:ascii="Times New Roman" w:hAnsi="Times New Roman" w:cs="Times New Roman"/>
          <w:sz w:val="28"/>
          <w:szCs w:val="28"/>
        </w:rPr>
      </w:pPr>
      <w:r>
        <w:rPr>
          <w:rFonts w:ascii="Times New Roman" w:hAnsi="Times New Roman" w:cs="Times New Roman"/>
          <w:sz w:val="28"/>
          <w:szCs w:val="28"/>
        </w:rPr>
        <w:t>Reference</w:t>
      </w:r>
    </w:p>
    <w:p w:rsidR="00984DCD" w:rsidRDefault="00984DCD" w:rsidP="00984DCD">
      <w:pPr>
        <w:jc w:val="center"/>
        <w:rPr>
          <w:rFonts w:ascii="Times New Roman" w:hAnsi="Times New Roman" w:cs="Times New Roman"/>
          <w:sz w:val="28"/>
          <w:szCs w:val="28"/>
        </w:rPr>
      </w:pPr>
    </w:p>
    <w:p w:rsidR="00984DCD" w:rsidRDefault="00984DCD" w:rsidP="00984DCD">
      <w:pPr>
        <w:ind w:firstLine="720"/>
      </w:pPr>
      <w:r>
        <w:t xml:space="preserve">Staeheli, Peter, Monika Rinder, and Bernd Kaspers. "Minireview: Avian Bornavirus Associated with Fatal Disease in Psittacine Birds." </w:t>
      </w:r>
      <w:r>
        <w:rPr>
          <w:i/>
          <w:iCs/>
        </w:rPr>
        <w:t>Journal of Virology</w:t>
      </w:r>
      <w:r>
        <w:t xml:space="preserve"> 84.13 (2010): 6269-6275. Web. 28 Apr 2011.</w:t>
      </w:r>
    </w:p>
    <w:p w:rsidR="00984DCD" w:rsidRDefault="00984DCD" w:rsidP="00984DCD">
      <w:pPr>
        <w:ind w:firstLine="720"/>
      </w:pPr>
      <w:r>
        <w:t xml:space="preserve">Honkavuori , Kirsi, H.L Shivaprasad , Brent Williams, Pheniz-Lan Quan,  Mady Hornig, Craig Street, Gustavo Palacios, Stephen Hutchison, Monique Franca, Micael Egholm, Thomas Briese and W Ian Lipkin. "Novel Borna Virus in Psittacine Birds with Proventricular Dilatation Disease." </w:t>
      </w:r>
      <w:r>
        <w:rPr>
          <w:i/>
          <w:iCs/>
        </w:rPr>
        <w:t xml:space="preserve">Emerging </w:t>
      </w:r>
      <w:r w:rsidR="005266F1">
        <w:rPr>
          <w:i/>
          <w:iCs/>
        </w:rPr>
        <w:t>Infectious Disease</w:t>
      </w:r>
      <w:r>
        <w:t xml:space="preserve"> 14.12 (2008): 1883-1887. Web. 28 Apr 2011.</w:t>
      </w:r>
    </w:p>
    <w:p w:rsidR="00984DCD" w:rsidRDefault="00984DCD" w:rsidP="00984DCD">
      <w:pPr>
        <w:ind w:firstLine="720"/>
      </w:pPr>
      <w:r>
        <w:t xml:space="preserve">Cray, Carolyn. "Infectious and Zoonotic Disease Testing in Pet Birds." </w:t>
      </w:r>
      <w:r w:rsidR="005266F1">
        <w:rPr>
          <w:i/>
          <w:iCs/>
        </w:rPr>
        <w:t>Clinics in Laboratory Medicine</w:t>
      </w:r>
      <w:r>
        <w:rPr>
          <w:i/>
          <w:iCs/>
        </w:rPr>
        <w:t xml:space="preserve"> </w:t>
      </w:r>
      <w:r>
        <w:t>31. (2011): 71-85. Web. 28 Apr 2011.</w:t>
      </w:r>
    </w:p>
    <w:p w:rsidR="00A94BAD" w:rsidRDefault="00A94BAD" w:rsidP="00984DCD">
      <w:pPr>
        <w:ind w:firstLine="720"/>
      </w:pPr>
      <w:r>
        <w:t xml:space="preserve">Weissenbock, Herbert, Karine Sekulin, Tamas Bakonyi, Sandra Hogler, and Norbert Nowotny. "Novel Avian Bornavirus in a Nonpsittacine Species (Canary; Serinus canaria) with Enteric Ganglioneuritis and Encephalitis." </w:t>
      </w:r>
      <w:r>
        <w:rPr>
          <w:i/>
          <w:iCs/>
        </w:rPr>
        <w:t>Journal of Virology</w:t>
      </w:r>
      <w:r>
        <w:t xml:space="preserve"> 83.21 (2009): 11367-11371. Web. 28 Apr 2011.</w:t>
      </w:r>
    </w:p>
    <w:p w:rsidR="00247736" w:rsidRDefault="00247736" w:rsidP="00984DCD">
      <w:pPr>
        <w:ind w:firstLine="720"/>
      </w:pPr>
      <w:r>
        <w:t xml:space="preserve">Gonzalez-Dunia, Daniel, Beatrice Cubitt, and Juan Carlos De L Torre. "Mechanism of Borna Disease Virus Entry into Cells." </w:t>
      </w:r>
      <w:r>
        <w:rPr>
          <w:i/>
          <w:iCs/>
        </w:rPr>
        <w:t>Journal of Virology</w:t>
      </w:r>
      <w:r>
        <w:t xml:space="preserve"> 72.1 (1998): 783-788. Web. 28 Apr 2011.</w:t>
      </w:r>
    </w:p>
    <w:p w:rsidR="00984DCD" w:rsidRPr="00A94BAD" w:rsidRDefault="00984DCD" w:rsidP="00984DCD">
      <w:pPr>
        <w:rPr>
          <w:b/>
        </w:rPr>
      </w:pPr>
      <w:r w:rsidRPr="00A94BAD">
        <w:rPr>
          <w:b/>
        </w:rPr>
        <w:t>Pictures</w:t>
      </w:r>
    </w:p>
    <w:p w:rsidR="00984DCD" w:rsidRDefault="00984DCD" w:rsidP="00984DCD">
      <w:pPr>
        <w:ind w:firstLine="720"/>
      </w:pPr>
      <w:r>
        <w:t xml:space="preserve">Staeheli, Peter, Monika Rinder, and Bernd Kaspers. "Minireview: Avian Bornavirus Associated with Fatal Disease in Psittacine Birds." </w:t>
      </w:r>
      <w:r>
        <w:rPr>
          <w:i/>
          <w:iCs/>
        </w:rPr>
        <w:t>Journal of Virology</w:t>
      </w:r>
      <w:r>
        <w:t xml:space="preserve"> 84.13 (2010): 6269-6275. Web. 28 Apr 2011.</w:t>
      </w:r>
    </w:p>
    <w:p w:rsidR="00A94BAD" w:rsidRPr="00984DCD" w:rsidRDefault="00A94BAD" w:rsidP="00984DCD">
      <w:pPr>
        <w:ind w:firstLine="720"/>
        <w:rPr>
          <w:rFonts w:ascii="Times New Roman" w:hAnsi="Times New Roman" w:cs="Times New Roman"/>
          <w:b/>
          <w:sz w:val="28"/>
          <w:szCs w:val="28"/>
        </w:rPr>
      </w:pPr>
      <w:r>
        <w:t xml:space="preserve">Weissenbock, Herbert, Karine Sekulin, Tamas Bakonyi, Sandra Hogler, and Norbert Nowotny. "Novel Avian Bornavirus in a Nonpsittacine Species (Canary; Serinus canaria) with Enteric Ganglioneuritis and Encephalitis." </w:t>
      </w:r>
      <w:r>
        <w:rPr>
          <w:i/>
          <w:iCs/>
        </w:rPr>
        <w:t>Journal of Virology</w:t>
      </w:r>
      <w:r>
        <w:t xml:space="preserve"> 83.21 (2009): 11367-11371. Web. 28 Apr 2011.</w:t>
      </w:r>
    </w:p>
    <w:sectPr w:rsidR="00A94BAD" w:rsidRPr="00984DCD" w:rsidSect="005104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A48"/>
    <w:rsid w:val="002028AF"/>
    <w:rsid w:val="00247736"/>
    <w:rsid w:val="003E31A9"/>
    <w:rsid w:val="003F011F"/>
    <w:rsid w:val="00510441"/>
    <w:rsid w:val="005266F1"/>
    <w:rsid w:val="005664B1"/>
    <w:rsid w:val="005818EE"/>
    <w:rsid w:val="005C0A0C"/>
    <w:rsid w:val="006360D5"/>
    <w:rsid w:val="00727665"/>
    <w:rsid w:val="00814CB3"/>
    <w:rsid w:val="0088644C"/>
    <w:rsid w:val="00984DCD"/>
    <w:rsid w:val="00986D95"/>
    <w:rsid w:val="00A94BAD"/>
    <w:rsid w:val="00AA1A48"/>
    <w:rsid w:val="00AA523F"/>
    <w:rsid w:val="00C612FC"/>
    <w:rsid w:val="00EC3BA4"/>
    <w:rsid w:val="00F27A48"/>
    <w:rsid w:val="00FB7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2138CA-8093-4524-8203-46A9DE89C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4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011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0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1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803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Maruniak, James E</cp:lastModifiedBy>
  <cp:revision>2</cp:revision>
  <dcterms:created xsi:type="dcterms:W3CDTF">2016-03-07T18:54:00Z</dcterms:created>
  <dcterms:modified xsi:type="dcterms:W3CDTF">2016-03-07T18:54:00Z</dcterms:modified>
</cp:coreProperties>
</file>